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360" w:after="360" w:line="240" w:lineRule="auto"/>
        <w:shd w:val="clear" w:color="auto" w:fill="ffffff"/>
        <w:rPr>
          <w:rFonts w:ascii="Times New Roman" w:hAnsi="Times New Roman" w:eastAsia="Times New Roman" w:cs="Times New Roman"/>
          <w:b/>
          <w:caps/>
          <w:color w:val="444444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aps/>
          <w:color w:val="444444"/>
          <w:sz w:val="20"/>
          <w:szCs w:val="20"/>
          <w:lang w:eastAsia="ru-RU"/>
        </w:rPr>
        <w:t xml:space="preserve">ПОЛИТИКА КОНФИДЕНЦИАЛЬНОСТИ</w:t>
      </w:r>
      <w:r>
        <w:rPr>
          <w:rFonts w:ascii="Times New Roman" w:hAnsi="Times New Roman" w:eastAsia="Times New Roman" w:cs="Times New Roman"/>
          <w:b/>
          <w:caps/>
          <w:color w:val="444444"/>
          <w:sz w:val="20"/>
          <w:szCs w:val="20"/>
          <w:lang w:eastAsia="ru-RU"/>
        </w:rPr>
        <w:t xml:space="preserve"> И ОБРАБОТКИ</w:t>
      </w:r>
      <w:r>
        <w:rPr>
          <w:rFonts w:ascii="Times New Roman" w:hAnsi="Times New Roman" w:eastAsia="Times New Roman" w:cs="Times New Roman"/>
          <w:b/>
          <w:caps/>
          <w:color w:val="444444"/>
          <w:sz w:val="20"/>
          <w:szCs w:val="20"/>
          <w:lang w:eastAsia="ru-RU"/>
        </w:rPr>
        <w:t xml:space="preserve"> ПЕРСОНАЛЬНЫХ ДАННЫХ</w:t>
      </w:r>
      <w:r>
        <w:rPr>
          <w:rFonts w:ascii="Times New Roman" w:hAnsi="Times New Roman" w:eastAsia="Times New Roman" w:cs="Times New Roman"/>
          <w:b/>
          <w:caps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Настоящая Политика конфиденциальности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обработки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персональных данных (далее — Политика) действует в отношении всей информации, которую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Общество с ограниченной ответственностью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КОНТИ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» может получи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ть о Пользователе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во время использования сайта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(далее — Сайт)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0"/>
          <w:numId w:val="7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  <w:lang w:eastAsia="ru-RU"/>
        </w:rPr>
        <w:t xml:space="preserve">ОПРЕДЕЛЕНИЕ ТЕРМИНОВ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</w:rPr>
      </w:r>
    </w:p>
    <w:p>
      <w:pPr>
        <w:pStyle w:val="643"/>
        <w:numPr>
          <w:ilvl w:val="1"/>
          <w:numId w:val="10"/>
        </w:numPr>
        <w:ind w:left="-284" w:firstLine="284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 настоящей Политике используются следующие термины: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2"/>
          <w:numId w:val="10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«Администрация сайта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(далее — Администрация сайта) » — уполномоченные сотрудники на управления сайтом, действующие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от имени ООО «КОНТИ», которые организуют и (или) осуществляет обработку персональных данных, а также определяет цели обработки персональных данных, состав персональных данных, подлежащих обработке, действи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я (операции), совершаемые с персональными данными.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r>
    </w:p>
    <w:p>
      <w:pPr>
        <w:pStyle w:val="643"/>
        <w:numPr>
          <w:ilvl w:val="2"/>
          <w:numId w:val="10"/>
        </w:numPr>
        <w:ind w:left="0" w:firstLine="0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«Персональные данные» — любая информация, относящаяся к прямо или косвенно определенному, или определяемому физическому лицу (субъекту персональных данных).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r>
    </w:p>
    <w:p>
      <w:pPr>
        <w:pStyle w:val="643"/>
        <w:numPr>
          <w:ilvl w:val="2"/>
          <w:numId w:val="10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«Кон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«Пользователь сайта</w:t>
      </w:r>
      <w:r>
        <w:rPr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(далее Пользователь)» — лицо, имеющее доступ к Сайту, посредством сети Интернет и использующее Сайт.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highlight w:val="white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10"/>
          <w:szCs w:val="1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10"/>
          <w:szCs w:val="10"/>
          <w:highlight w:val="white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«IP-адрес» — уникальный сетевой адрес узла в компьютерной сети, построенной по протоколу IP.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  <w:lang w:eastAsia="ru-RU"/>
        </w:rPr>
        <w:t xml:space="preserve">ОБЩИЕ ПОЛО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  <w:lang w:eastAsia="ru-RU"/>
        </w:rPr>
        <w:t xml:space="preserve">ЖЕНИЯ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Использование Пользователем сайта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означает согласие с настоящей Политикой и условиями обработки персональных данных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 случае несогласия с условиями Политики Пользователь должен прекратить использование сайта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Интернет-магазина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Настоящая Политика применяется только к сайту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Компания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ООО «КОНТИ»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сайта не проверяет достоверность персональных данных, предоставляемых Пользователем Сайта.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ПРЕДМЕТ ПОЛИТИКИ 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Настоящая Политика устанавливает обяз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заказа для приобретения Товара.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Персональные данные, разрешённые к обработке в рамках настоящей Политики, предоставляются Пользователем путём заполнения регистрационной формы на Сайте и включают в себя следующую ин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формацию: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0"/>
          <w:numId w:val="11"/>
        </w:numPr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фамилию, имя, отчество Пользователя;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0"/>
          <w:numId w:val="11"/>
        </w:numPr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контактный телефон Пользователя;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0"/>
          <w:numId w:val="11"/>
        </w:numPr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адрес электронной почты (e-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mail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0"/>
          <w:numId w:val="11"/>
        </w:numPr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адрес доставки Товара;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0"/>
          <w:numId w:val="11"/>
        </w:numPr>
        <w:spacing w:after="18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место жительство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Компания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ООО «КОНТИ»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IP адрес;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информация из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информация о браузере (или иной программе, которая осуществляет доступ к показу рекламы);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время доступа;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адрес страницы, на которой расположен рекламный блок;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2"/>
        </w:numPr>
        <w:ind w:left="284" w:hanging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реферер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(адрес предыдущей страницы).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ind w:left="284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pStyle w:val="643"/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Отключение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cookies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может повлечь невозможность доступа к частям Сайта, требующим авторизации.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Сайт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в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. 5.2. и 5.3. настоящей Политики.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ЦЕЛИ СБОРА ПЕРСОНАЛЬНОЙ ИНФОРМАЦИИ ПОЛЬЗОВАТЕЛЯ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Персональные данные Пользователя Администрация сайта может использовать в целях: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Идентификации Пользователя, зарегистрированного на Сайте, для оформления заказа и (или) заключения Договора купли-продажи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(поставки)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товара.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Предоставления Пользователю доступа к персонализированным ресурсам Сайта.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Определения места нахождения Пользователя для обеспечения безопасности, предотвращения мошенничества.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Подтверждения достоверности и полноты персональных данных, предоставленных Пользователем.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Создания учетной записи для совершения покупок, если Пользователь дал согласие на создание учетной записи.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Уведомления Пользователя Сайта о состоянии Заказа.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Обработки и получения платежей, подтверждения налога или налоговых льгот, оспаривания платежа, определения права на получение кредитной линии Пользователем.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Предоставления Пользователю эффективной клиентской и технической поддержки при возникновении проблем, связанных с использованием Сайта.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Предоставления Пользователю с его согласия, обновлений продукции, специальных предложений, информации о ценах, новостной рассылки и иных сведений от имени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ООО «КОНТИ»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или от имени ее партнеров.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Осуществления рекламной деятельности с согласия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Предоставления доступа Пользователю на сайты или сервисы партнеров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ООО «КОНТИ»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с целью получения продуктов, обновлений и услуг.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СПОСОБЫ И СРОКИ ОБРАБОТКИ ПЕРСОНАЛЬНОЙ ИНФОРМАЦИИ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Пользователь согл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ашается с тем, что Администрация сайта вправе передавать персональные данные третьим лицам, в частности, курьерским службам, организациями почтовой связи, операторам электросвязи, исключительно в целях выполнения заказа Пользователя, оформленного на Сайте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ООО «КОНТИ»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, включая доставку Товара.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сайта принимает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сайта совместно с Пользователем принимает все необходимые меры по предотвращению убытков или иных отрицательных последствий, вызванных утратой или разглашением персональных данных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ОБЯЗАТЕЛЬСТВА СТОРОН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Пользователь обязан: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-426" w:firstLine="426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Предоставить информацию о персональных данных, необходимую для пользования Сайтом.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Обновить, дополнить предоставленную информацию о персональных данных в случае изменения данной информации.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сайта обязана: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pStyle w:val="643"/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Использовать полученную информацию исключительно для целей, указанных в п. 4 настоящей Политики.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Обеспечить хранение конфиденциал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. 5.2. и 5.3. настоящей Политики.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jc w:val="both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Осуществить блокирование персональных данных, относящихся к соответствующему Пользова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ОТВЕТСТВЕННОСТЬ СТОРОН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. 5.2., 5.3. и 7.2. настоящей Политики.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Стала публичным достоянием до её утраты или разглашения.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Была получена от третьей стороны до момента её получения Администрацией сайта.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2"/>
          <w:numId w:val="10"/>
        </w:numPr>
        <w:ind w:left="0" w:firstLine="0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Была разглашена с согласия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pStyle w:val="643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РАЗРЕШЕНИЕ СПОРОВ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-284" w:firstLine="0"/>
        <w:jc w:val="both"/>
        <w:spacing w:after="3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-284" w:firstLine="0"/>
        <w:jc w:val="both"/>
        <w:spacing w:after="3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Получатель претензии в течение 30 календарных дней со дня получения претензии, письменно уведомляет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заявителя претензии о результатах рассмотрения претензии.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-284" w:firstLine="0"/>
        <w:jc w:val="both"/>
        <w:spacing w:after="3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-284" w:firstLine="0"/>
        <w:spacing w:after="3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К настоящей Политике и отношениям между Пользователем и Администрацией сайта применяется действующее законодательство Российской Федерации.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</w:r>
    </w:p>
    <w:p>
      <w:pPr>
        <w:numPr>
          <w:ilvl w:val="0"/>
          <w:numId w:val="10"/>
        </w:numPr>
        <w:ind w:left="0"/>
        <w:jc w:val="center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  <w:t xml:space="preserve">ДОПОЛНИТЕЛЬНЫЕ УСЛОВИЯ</w:t>
      </w:r>
      <w:r>
        <w:rPr>
          <w:rFonts w:ascii="Times New Roman" w:hAnsi="Times New Roman" w:eastAsia="Times New Roman" w:cs="Times New Roman"/>
          <w:b/>
          <w:color w:val="444444"/>
          <w:sz w:val="20"/>
          <w:szCs w:val="20"/>
          <w:lang w:eastAsia="ru-RU"/>
        </w:rPr>
      </w:r>
    </w:p>
    <w:p>
      <w:pPr>
        <w:numPr>
          <w:ilvl w:val="1"/>
          <w:numId w:val="10"/>
        </w:numPr>
        <w:ind w:left="-284" w:hanging="76"/>
        <w:spacing w:after="3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lang w:eastAsia="ru-RU"/>
        </w:rPr>
        <w:t xml:space="preserve">Администрация сайта впра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ве вносить изменения в настоящую Политику без согласия Пользователя.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-284" w:firstLine="0"/>
        <w:jc w:val="both"/>
        <w:spacing w:after="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Новая Политика вступает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в силу с момента ее размещения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на Сайте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если иное не предусмотрено новой редакцией Политики.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-284" w:firstLine="0"/>
        <w:jc w:val="both"/>
        <w:spacing w:after="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Все предложения или вопросы по настоящей Политике следует сообщать по электронной почте </w:t>
      </w:r>
      <w:hyperlink r:id="rId10" w:tooltip="http://aconti.ru/" w:history="1">
        <w:r>
          <w:rPr>
            <w:rStyle w:val="644"/>
            <w:rFonts w:ascii="Times New Roman" w:hAnsi="Times New Roman" w:eastAsia="Times New Roman" w:cs="Times New Roman"/>
            <w:sz w:val="20"/>
            <w:szCs w:val="20"/>
            <w:highlight w:val="white"/>
            <w:lang w:eastAsia="ru-RU"/>
          </w:rPr>
          <w:t xml:space="preserve">http://aconti.ru/</w:t>
        </w:r>
      </w:hyperlink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jc w:val="both"/>
        <w:spacing w:after="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numPr>
          <w:ilvl w:val="1"/>
          <w:numId w:val="10"/>
        </w:numPr>
        <w:ind w:left="-284" w:firstLine="0"/>
        <w:jc w:val="both"/>
        <w:spacing w:after="0" w:line="240" w:lineRule="auto"/>
        <w:shd w:val="clear" w:color="auto" w:fill="ffffff"/>
        <w:tabs>
          <w:tab w:val="left" w:pos="142" w:leader="none"/>
        </w:tabs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Действующая Политика размещена на странице по адресу 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http://aconti.ru/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444444"/>
          <w:sz w:val="20"/>
          <w:szCs w:val="20"/>
          <w:highlight w:val="white"/>
        </w:rPr>
      </w:r>
    </w:p>
    <w:p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sectPr>
      <w:footnotePr/>
      <w:endnotePr/>
      <w:type w:val="nextPage"/>
      <w:pgSz w:w="11906" w:h="16838" w:orient="portrait"/>
      <w:pgMar w:top="426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isLgl w:val="false"/>
      <w:suff w:val="tab"/>
      <w:lvlText w:val=""/>
      <w:lvlJc w:val="left"/>
      <w:pPr>
        <w:ind w:left="720" w:hanging="720"/>
      </w:pPr>
      <w:rPr>
        <w:rFonts w:hint="default" w:ascii="Symbol" w:hAnsi="Symbol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/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9"/>
    <w:lvlOverride w:ilvl="2">
      <w:lvl w:ilvl="2">
        <w:start w:val="1"/>
        <w:numFmt w:val="bullet"/>
        <w:isLgl w:val="false"/>
        <w:suff w:val="tab"/>
        <w:lvlText w:val=""/>
        <w:lvlJc w:val="left"/>
        <w:pPr>
          <w:ind w:left="2160" w:hanging="360"/>
          <w:tabs>
            <w:tab w:val="num" w:pos="2160" w:leader="none"/>
          </w:tabs>
        </w:pPr>
        <w:rPr>
          <w:rFonts w:hint="default" w:ascii="Wingdings" w:hAnsi="Wingdings"/>
          <w:sz w:val="20"/>
        </w:rPr>
      </w:lvl>
    </w:lvlOverride>
  </w:num>
  <w:num w:numId="9">
    <w:abstractNumId w:val="9"/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160" w:hanging="360"/>
          <w:tabs>
            <w:tab w:val="num" w:pos="2160" w:leader="none"/>
          </w:tabs>
        </w:pPr>
      </w:lvl>
    </w:lvlOverride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0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0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0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>
    <w:name w:val="List Paragraph"/>
    <w:basedOn w:val="639"/>
    <w:uiPriority w:val="34"/>
    <w:qFormat/>
    <w:pPr>
      <w:contextualSpacing/>
      <w:ind w:left="720"/>
    </w:pPr>
  </w:style>
  <w:style w:type="character" w:styleId="644">
    <w:name w:val="Hyperlink"/>
    <w:basedOn w:val="64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acont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7CBA-7BE8-44A3-9D66-59CACE13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Людмила Юрьевна</dc:creator>
  <cp:lastModifiedBy>ООО КОНТИ</cp:lastModifiedBy>
  <cp:revision>5</cp:revision>
  <dcterms:created xsi:type="dcterms:W3CDTF">2024-05-28T08:45:00Z</dcterms:created>
  <dcterms:modified xsi:type="dcterms:W3CDTF">2024-06-14T08:29:03Z</dcterms:modified>
</cp:coreProperties>
</file>